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584609">
        <w:tc>
          <w:tcPr>
            <w:tcW w:w="5670" w:type="dxa"/>
          </w:tcPr>
          <w:p w:rsidR="00666BDD" w:rsidRDefault="00666BDD" w:rsidP="0058460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DC613A" w:rsidRDefault="00DC613A" w:rsidP="00DC613A">
          <w:pPr>
            <w:spacing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МОНТАЖ И ОБСЛУЖИВАНИЕ РАДИОЭЛЕКТРОННОГО ОБОРУДОВАНИЯ НА ЖЕЛЕЗНОДОРОЖНОМ ТРАНСПОРТЕ</w:t>
          </w: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92D9D" w:rsidRPr="00392D9D" w:rsidRDefault="00392D9D" w:rsidP="00392D9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</w:rPr>
          </w:pP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>Регионального</w:t>
          </w:r>
          <w:r w:rsidRPr="00392D9D">
            <w:rPr>
              <w:rFonts w:ascii="Times New Roman" w:hAnsi="Times New Roman" w:cs="Times New Roman"/>
              <w:b/>
              <w:color w:val="FF0000"/>
              <w:sz w:val="36"/>
              <w:szCs w:val="36"/>
            </w:rPr>
            <w:t xml:space="preserve"> </w:t>
          </w: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 xml:space="preserve">этапа Чемпионата по профессиональному мастерству «Профессионалы» </w:t>
          </w:r>
          <w:r w:rsidRPr="00392D9D">
            <w:rPr>
              <w:rFonts w:ascii="Times New Roman" w:hAnsi="Times New Roman" w:cs="Times New Roman"/>
              <w:b/>
              <w:color w:val="212529"/>
              <w:sz w:val="36"/>
              <w:szCs w:val="36"/>
            </w:rPr>
            <w:t>и Чемпионата высоких технологий – 2024</w:t>
          </w:r>
          <w:r w:rsidRPr="00392D9D">
            <w:rPr>
              <w:rFonts w:ascii="Segoe UI" w:hAnsi="Segoe UI" w:cs="Segoe UI"/>
              <w:color w:val="212529"/>
              <w:sz w:val="36"/>
              <w:szCs w:val="36"/>
            </w:rPr>
            <w:t xml:space="preserve">  </w:t>
          </w:r>
          <w:r w:rsidRPr="00392D9D">
            <w:rPr>
              <w:rFonts w:ascii="Times New Roman" w:hAnsi="Times New Roman" w:cs="Times New Roman"/>
              <w:b/>
              <w:color w:val="212529"/>
              <w:sz w:val="36"/>
              <w:szCs w:val="36"/>
            </w:rPr>
            <w:t>в</w:t>
          </w:r>
          <w:r w:rsidRPr="00392D9D">
            <w:rPr>
              <w:rFonts w:ascii="Segoe UI" w:hAnsi="Segoe UI" w:cs="Segoe UI"/>
              <w:color w:val="212529"/>
              <w:sz w:val="36"/>
              <w:szCs w:val="36"/>
            </w:rPr>
            <w:t xml:space="preserve"> </w:t>
          </w: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>Орловской области</w:t>
          </w:r>
        </w:p>
        <w:p w:rsidR="00334165" w:rsidRPr="00A204BB" w:rsidRDefault="00804B3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DC613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92D9D">
        <w:rPr>
          <w:rFonts w:ascii="Times New Roman" w:hAnsi="Times New Roman" w:cs="Times New Roman"/>
          <w:lang w:bidi="en-US"/>
        </w:rPr>
        <w:t>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804B36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="0029547E"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Pr="006F7F2C">
          <w:rPr>
            <w:rFonts w:ascii="Times New Roman" w:hAnsi="Times New Roman"/>
            <w:noProof/>
            <w:webHidden/>
          </w:rPr>
          <w:fldChar w:fldCharType="begin"/>
        </w:r>
        <w:r w:rsidR="00A4187F" w:rsidRPr="006F7F2C">
          <w:rPr>
            <w:rFonts w:ascii="Times New Roman" w:hAnsi="Times New Roman"/>
            <w:noProof/>
            <w:webHidden/>
          </w:rPr>
          <w:instrText xml:space="preserve"> PAGEREF _Toc142037183 \h </w:instrText>
        </w:r>
        <w:r w:rsidRPr="006F7F2C">
          <w:rPr>
            <w:rFonts w:ascii="Times New Roman" w:hAnsi="Times New Roman"/>
            <w:noProof/>
            <w:webHidden/>
          </w:rPr>
        </w:r>
        <w:r w:rsidRPr="006F7F2C">
          <w:rPr>
            <w:rFonts w:ascii="Times New Roman" w:hAnsi="Times New Roman"/>
            <w:noProof/>
            <w:webHidden/>
          </w:rPr>
          <w:fldChar w:fldCharType="separate"/>
        </w:r>
        <w:r w:rsidR="003815C7" w:rsidRPr="006F7F2C">
          <w:rPr>
            <w:rFonts w:ascii="Times New Roman" w:hAnsi="Times New Roman"/>
            <w:noProof/>
            <w:webHidden/>
          </w:rPr>
          <w:t>3</w:t>
        </w:r>
        <w:r w:rsidRPr="006F7F2C">
          <w:rPr>
            <w:rFonts w:ascii="Times New Roman" w:hAnsi="Times New Roman"/>
            <w:noProof/>
            <w:webHidden/>
          </w:rPr>
          <w:fldChar w:fldCharType="end"/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 xml:space="preserve">  </w:t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02201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902201">
          <w:rPr>
            <w:rFonts w:eastAsia="Arial Unicode MS"/>
            <w:sz w:val="24"/>
            <w:szCs w:val="24"/>
          </w:rPr>
          <w:t>М</w:t>
        </w:r>
        <w:r w:rsidR="00902201" w:rsidRPr="00902201">
          <w:rPr>
            <w:rFonts w:eastAsia="Arial Unicode MS"/>
            <w:sz w:val="24"/>
            <w:szCs w:val="24"/>
          </w:rPr>
          <w:t>онтаж и обслуживание радиоэлектронного оборудования на железнодорожном транспорте</w:t>
        </w:r>
        <w:r w:rsidR="00902201" w:rsidRPr="00902201">
          <w:rPr>
            <w:rStyle w:val="ae"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11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11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12</w:t>
        </w:r>
      </w:hyperlink>
    </w:p>
    <w:p w:rsidR="00A4187F" w:rsidRPr="00A4187F" w:rsidRDefault="00804B36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noProof/>
            <w:webHidden/>
          </w:rPr>
          <w:tab/>
        </w:r>
        <w:r w:rsidR="006F7F2C" w:rsidRPr="006F7F2C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13</w:t>
        </w:r>
      </w:hyperlink>
    </w:p>
    <w:p w:rsidR="00A4187F" w:rsidRPr="00A4187F" w:rsidRDefault="00804B3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13</w:t>
        </w:r>
      </w:hyperlink>
    </w:p>
    <w:p w:rsidR="00A4187F" w:rsidRPr="00A4187F" w:rsidRDefault="00804B36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noProof/>
            <w:webHidden/>
          </w:rPr>
          <w:tab/>
        </w:r>
        <w:r w:rsidR="006F7F2C" w:rsidRPr="006F7F2C">
          <w:rPr>
            <w:rFonts w:ascii="Times New Roman" w:hAnsi="Times New Roman"/>
            <w:noProof/>
            <w:webHidden/>
            <w:lang w:val="ru-RU"/>
          </w:rPr>
          <w:t>1</w:t>
        </w:r>
        <w:r w:rsidR="006F7F2C">
          <w:rPr>
            <w:rFonts w:ascii="Times New Roman" w:hAnsi="Times New Roman"/>
            <w:noProof/>
            <w:webHidden/>
            <w:lang w:val="ru-RU"/>
          </w:rPr>
          <w:t>3</w:t>
        </w:r>
      </w:hyperlink>
    </w:p>
    <w:p w:rsidR="00AA2B8A" w:rsidRPr="00A204BB" w:rsidRDefault="00804B3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Cs/>
          <w:sz w:val="28"/>
          <w:szCs w:val="28"/>
          <w:lang w:val="ru-RU" w:eastAsia="ru-RU"/>
        </w:rPr>
        <w:t>ж</w:t>
      </w: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.д. – </w:t>
      </w: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железнодорожный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, железная дорога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СИЗ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средства индивидуальной защиты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ОАО «РЖД» - открытое акционерное общество «Российские железные дороги»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ЕСМА – единая система мониторинга и администрирования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ТРО – транспортное радиоэлектронное оборудование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ОТС – оперативно-технологическая связь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АРМ – автоматизированное рабочее место</w:t>
      </w: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C613A" w:rsidRPr="004D27A4">
        <w:rPr>
          <w:rFonts w:ascii="Times New Roman" w:hAnsi="Times New Roman" w:cs="Times New Roman"/>
          <w:sz w:val="28"/>
          <w:szCs w:val="28"/>
        </w:rPr>
        <w:t>Монтаж и обслуживание радиоэлектронного оборудования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C613A" w:rsidRPr="00DC613A">
        <w:rPr>
          <w:rFonts w:ascii="Times New Roman" w:hAnsi="Times New Roman"/>
          <w:color w:val="000000"/>
          <w:sz w:val="24"/>
        </w:rPr>
        <w:t>МОНТАЖ И ОБСЛУЖИВАНИЕ РАДИОЭЛЕКТРОННОГО ОБОРУДОВАНИЯ НА ЖЕЛЕЗНОДОРОЖНОМ ТРАНСПОРТЕ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64773" w:rsidRPr="003732A7" w:rsidTr="00DC63F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244DA" w:rsidRDefault="00DC63FC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регламент ведения переговоров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ж.д. транспорте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нормы и требования правил технической эксплуатации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законодательство о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локальные нормативные акты по техническому обслуживанию и ремонту аппаратуры, устройств и сооружений железнодорожной электросвязи в объеме, необходимом для выполнения работ;</w:t>
            </w:r>
          </w:p>
          <w:p w:rsidR="00DC63FC" w:rsidRPr="004D27A4" w:rsidRDefault="00804B36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C63FC" w:rsidRPr="004D27A4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="00DC63FC" w:rsidRPr="004D27A4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эксплуатации железных дорог Российской Федерации в объеме, необходимом для выполнения работ;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нормативно-технические и руководящие документы по техническому обслуживанию оборудования, устройств и сооружений железнодорожной электросвязи;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правила организации технического обслуживания и ремонта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 железнодорожной инфраструктуры; 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 при выполнении работ по ремонту оборудования, устройств и сооружений железнодорожной электросвязи;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27.12.2016 N 2724р "Об утверждении Инструкции по охране труда для электромеханика и электромонтера хозяйства связи ОАО "РЖД";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использования 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производства работ на ж.д.  путях;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оказания первой медицинской помощи при поражении электрическим током и других видах поражения;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безопасного выполнения работ, связанных с поиском и устранением неисправностей;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16.01.2014 N 48р "Об утверждении Правил по охране труда при техническом обслуживании и ремонте устрой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язи ОАО "РЖД";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пожарной безопасности на ж.д. транспорте в объеме, необходимом для выполнения должностных обязанностей;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санитарные нормы и правила в объеме, необходимом для выполнения должностных обязанностей;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об особенностях режима рабочего времени и времени отдыха, условий труда отдельных категорий работников;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охране труда и технике безопасности;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оформлению работ по техническому обслуживанию, монтажу и ремонту устрой</w:t>
            </w:r>
            <w:proofErr w:type="gramStart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анспортного радиоэлектронного оборудования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бланков установленной формы и ведения отчетной документации;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технической документации в объеме, необходимом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исполнения должностных обязанностей;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отчетов в ЕСМА;</w:t>
            </w:r>
          </w:p>
          <w:p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кодекс деловой этики ОАО «РЖД».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собирать информацию по работе устройств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принимать на себя ответственность за результат;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Кодекс деловой этики ОАО «РЖД».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 организовывать рабочее место; 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предупреждению производственного травматизма</w:t>
            </w: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разрешение на подготовку рабочего места и на допуск к работе с учетом требований;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перерыв в работе, перевод на другое место, окончание работы;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необходимые записи по производству и окончанию работ;</w:t>
            </w:r>
          </w:p>
          <w:p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 в объеме, необходимом для исполнения должностных обязанностей.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установки и монтажа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правила строительства линий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кабелей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радиоэлементов;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линейных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станционных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линейного и станционного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схем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 и принцип действия монтажных инструментов;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работы с монтажным инструментом;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установки и расположения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виды и способы монтажа ТРО;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сопряжения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необходимые радиоэлементы для выполнения монтажных схем;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осуществлять монтаж линейного и оконечного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пользоваться монтажным инструментом и оборудованием;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установку и монтаж станционного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оптимальный метод установки и монтажа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подбирать необходимые устройства, оборудование и материалы для выполнения установки и монтажа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сопряжение ТРО;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подготавливать радиоэлектронное оборудование к работе, проверке, регулировке и настройке.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эксплуатации и технического обслуживания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обслуживания радиоэлектронного оборудования;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условия и принципы распространения и восприятия звука;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устройство, принцип действия электроакустических преобразователей и телефонных аппаратов;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физические основы радиосвязи;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методы защиты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средства электропитания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основы технического обслуживания и ремонта аппаратуры ОТС и радиосвязи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работы оконечного и промежуточного оборудования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аналоговую и цифровую аппаратуру для организации видов ОТС и радиосвязи;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принципы, формы и методы организации производственного и технологического процессов эксплуатации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проверку и ремонт электроакустических преобразователей и телефонных аппаратов;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операции по техническому обслуживанию и ремонту линейных сооружений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оводной и радиосвязи при передаче и приеме сигналов;</w:t>
            </w:r>
          </w:p>
          <w:p w:rsidR="00DC63FC" w:rsidRPr="004D27A4" w:rsidRDefault="00DC63FC" w:rsidP="00DC63FC">
            <w:pPr>
              <w:numPr>
                <w:ilvl w:val="0"/>
                <w:numId w:val="29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текущего содержания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аппаратуры систем передачи данных;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эксплуатировать аппаратуру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неисправностей и контроля работоспособности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принципы передачи информации с помощью сре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методику измерения параметров и основных характеристик в каналах и групповых трактах;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основные функции центров технического обслуживания;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основы мониторинга и администрирования цифровых сетей и систем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кабелей;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передачи информации;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аппаратуры;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характер и место неисправности в линиях передачи с </w:t>
            </w:r>
            <w:proofErr w:type="spell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медножильными</w:t>
            </w:r>
            <w:proofErr w:type="spell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и волоконно-оптическими кабелями;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работоспособности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производить контроль работоспособности, измерение параметров аппаратуры и основных характеристик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входить в режимы тестирования аппаратуры проводной связи и радиосвязи, анализировать полученные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Схемы, чертежи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классификацию линий связи и каналов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типы, материалы и арматуру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построение систем передачи с частотным и временным разделением каналов;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организации всех видов радиосвязи с подвижными объектами;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оконечных и промежуточных станций, групповых и линейных трактов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топологию цифровых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методы защиты информационных потоков;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первичной сети связи с использованием цифровых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организации и аппаратуру различных видов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элементы проектирования цифровой сети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архитектуру, программные и аппаратные компоненты сетей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сетей электросвязи, принципы построения и архитектуру взаимоувязанной сети связи Российской Федерации и ведомственных сетей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машины и механизмы, применяемые при производстве работ по строительству сетей связи</w:t>
            </w:r>
          </w:p>
          <w:p w:rsidR="00DC63FC" w:rsidRPr="004D27A4" w:rsidRDefault="00DC63FC" w:rsidP="00DC63FC">
            <w:pPr>
              <w:numPr>
                <w:ilvl w:val="0"/>
                <w:numId w:val="32"/>
              </w:numPr>
              <w:tabs>
                <w:tab w:val="left" w:pos="33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составления принципиальных, монтажных, структурных и электрических схем; 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диапазоны частот и решения принципов электромагнитной совместимости радиоэлектронных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numPr>
                <w:ilvl w:val="0"/>
                <w:numId w:val="33"/>
              </w:numPr>
              <w:tabs>
                <w:tab w:val="left" w:pos="30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составлять, </w:t>
            </w: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качества передачи по каналам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разрабатывать структурные схемы организации сети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линий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по проектированию сетей связи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искать необходимую информацию.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телекоммуникационные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63FC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значения терминов: информация, информационные технологии, информационная система, информационный процесс и область применения информационных технологий;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аппаратуру, основанную на сетевом использовании;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АРМ, их локальные и информационные сети;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и администрирования на ж.д. транспорте.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пользоваться программным обеспечением при вводе в действие транспортного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создавать базу данных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отличать коммутационные центры и пользоваться электронной почтой;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применять SADT-технологии.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DC63FC" w:rsidRDefault="00DC63FC" w:rsidP="00DC63F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</w:p>
    <w:p w:rsidR="007274B8" w:rsidRPr="00D83E4E" w:rsidRDefault="00F8340A" w:rsidP="00DC63F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/>
      </w:tblPr>
      <w:tblGrid>
        <w:gridCol w:w="2217"/>
        <w:gridCol w:w="336"/>
        <w:gridCol w:w="1270"/>
        <w:gridCol w:w="1271"/>
        <w:gridCol w:w="1271"/>
        <w:gridCol w:w="1273"/>
        <w:gridCol w:w="2217"/>
      </w:tblGrid>
      <w:tr w:rsidR="00DC63FC" w:rsidRPr="004D27A4" w:rsidTr="00584609">
        <w:trPr>
          <w:trHeight w:val="1538"/>
          <w:jc w:val="center"/>
        </w:trPr>
        <w:tc>
          <w:tcPr>
            <w:tcW w:w="4132" w:type="pct"/>
            <w:gridSpan w:val="6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 w:val="restar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868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4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30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9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DC63FC" w:rsidRPr="004D27A4" w:rsidTr="00584609">
        <w:trPr>
          <w:trHeight w:val="355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1023" w:type="pct"/>
            <w:gridSpan w:val="2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DC63FC" w:rsidRPr="004D27A4" w:rsidTr="00584609">
        <w:tc>
          <w:tcPr>
            <w:tcW w:w="1851" w:type="pct"/>
            <w:gridSpan w:val="2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Построение и организация сетей и систем связи</w:t>
            </w:r>
          </w:p>
        </w:tc>
        <w:tc>
          <w:tcPr>
            <w:tcW w:w="3149" w:type="pct"/>
            <w:shd w:val="clear" w:color="auto" w:fill="auto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 проводной связи и радиосвязи;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необходимый тип и марку кабелей в зависимости от назначения, условий прокладки и эксплуатации, читать маркировку кабелей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выполнять расчеты и производить оценку качества передачи по каналам систем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разрабатывать структурные схемы организации сети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и ремонта линий связи;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- выполнять расчеты по проектированию сетей связи с использованием цифровых систем передачи.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линий связи</w:t>
            </w:r>
          </w:p>
        </w:tc>
        <w:tc>
          <w:tcPr>
            <w:tcW w:w="3149" w:type="pct"/>
            <w:shd w:val="clear" w:color="auto" w:fill="auto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проверять исправность кабелей, осуществлять монтаж линейного и оконечного и коммутационного оборудования;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характер и место неисправности в линиях передачи и устранять их;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выполнять операции по техническому обслуживанию и ремонту линейных сооружений связи;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и ввод в эксплуатацию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подготавливать оборудование связи к работе;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проверку, регулировку и настройку радиоэлектронного оборудования;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входить в режимы тестирования аппаратуры связи, анализировать полученные результаты;</w:t>
            </w:r>
          </w:p>
        </w:tc>
      </w:tr>
      <w:tr w:rsidR="00902201" w:rsidRPr="004D27A4" w:rsidTr="00584609">
        <w:tc>
          <w:tcPr>
            <w:tcW w:w="282" w:type="pct"/>
            <w:shd w:val="clear" w:color="auto" w:fill="00B050"/>
            <w:vAlign w:val="center"/>
          </w:tcPr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Техническое обслуживание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выполнять проверку и ремонт радиоэлектронного оборудования; 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 при передаче и приеме сигналов;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sz w:val="24"/>
                <w:szCs w:val="24"/>
              </w:rPr>
              <w:t>ств св</w:t>
            </w:r>
            <w:proofErr w:type="gramEnd"/>
            <w:r w:rsidRPr="004D27A4">
              <w:rPr>
                <w:sz w:val="24"/>
                <w:szCs w:val="24"/>
              </w:rPr>
              <w:t>язи;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контроль качества передачи информации по каналам связи;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и текущего содержания радиоэлектронного оборудования;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производить проверку работоспособности, измерение параметров аппаратуры и основных характеристик систем передачи;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 xml:space="preserve">- применять регламенты переговоров и взаимодействия с </w:t>
            </w:r>
            <w:r w:rsidRPr="004D27A4">
              <w:rPr>
                <w:bCs/>
                <w:sz w:val="24"/>
                <w:szCs w:val="24"/>
              </w:rPr>
              <w:lastRenderedPageBreak/>
              <w:t>основными производственными вертикалями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AC3AF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220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C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9166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902201" w:rsidRDefault="008C41F7" w:rsidP="009022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7C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64" w:rsidRPr="004D27A4" w:rsidRDefault="00730AE0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664" w:rsidRPr="004D27A4">
        <w:rPr>
          <w:rFonts w:ascii="Times New Roman" w:hAnsi="Times New Roman" w:cs="Times New Roman"/>
          <w:b/>
          <w:sz w:val="28"/>
          <w:szCs w:val="28"/>
        </w:rPr>
        <w:t>Построение и организация сетей и систем связи</w:t>
      </w:r>
      <w:r w:rsidR="006916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91664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691664">
        <w:rPr>
          <w:rFonts w:ascii="Times New Roman" w:hAnsi="Times New Roman" w:cs="Times New Roman"/>
          <w:b/>
          <w:sz w:val="28"/>
          <w:szCs w:val="28"/>
        </w:rPr>
        <w:t>)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Toc78885643"/>
      <w:bookmarkStart w:id="13" w:name="_Toc142037191"/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27A4">
        <w:rPr>
          <w:rFonts w:ascii="Times New Roman" w:hAnsi="Times New Roman" w:cs="Times New Roman"/>
          <w:sz w:val="28"/>
          <w:szCs w:val="28"/>
        </w:rPr>
        <w:t xml:space="preserve"> Используя исходные данные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7), обеспечение графического редактора, выполнить подбор (с обоснованием) необходимого оборудования и кабеля для организации сети связи, составить схему   организации   связи и размещения оборудования. Выполнить расчет величины необходимых параметров.</w:t>
      </w:r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hAnsi="Times New Roman" w:cs="Times New Roman"/>
          <w:sz w:val="28"/>
          <w:szCs w:val="28"/>
        </w:rPr>
        <w:t>Работа должна быть выполнена в соответствии с требованиями ПТЭ, ГОСТ, ЕСКД и отраслевым стандартом оформления графических работ (без штампа), на листах формата А</w:t>
      </w:r>
      <w:proofErr w:type="gramStart"/>
      <w:r w:rsidRPr="004D27A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D27A4">
        <w:rPr>
          <w:rFonts w:ascii="Times New Roman" w:hAnsi="Times New Roman" w:cs="Times New Roman"/>
          <w:sz w:val="28"/>
          <w:szCs w:val="28"/>
        </w:rPr>
        <w:t xml:space="preserve"> (книжная ориентация листа).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линий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задания: </w:t>
      </w:r>
      <w:r w:rsidRPr="004D27A4">
        <w:rPr>
          <w:rFonts w:ascii="Times New Roman" w:hAnsi="Times New Roman" w:cs="Times New Roman"/>
          <w:sz w:val="28"/>
          <w:szCs w:val="28"/>
        </w:rPr>
        <w:t>Выполнить разделку и монтаж представленных отрезков кабеля связи в оконечном и промежуточном оборудовании в соответствии с технологической картой и представленной схемой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9). Осуществить проверку правильности выполненного монтажа и заполнить необходимую документацию.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и ввод в эксплуатацию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8 часов</w:t>
      </w:r>
    </w:p>
    <w:p w:rsidR="0069166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>В соответствии с инструкцией по эксплуатации произвести установку, монтаж и настройку радиоэлектронного оборудования. Заполнить необходимую документацию.</w:t>
      </w:r>
    </w:p>
    <w:p w:rsidR="00902201" w:rsidRDefault="00902201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2201" w:rsidRPr="004D27A4" w:rsidRDefault="00902201" w:rsidP="009022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Техническое обслуживание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2201" w:rsidRPr="004D27A4" w:rsidRDefault="00902201" w:rsidP="009022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902201" w:rsidRPr="004D27A4" w:rsidRDefault="00902201" w:rsidP="009022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 xml:space="preserve">В соответствии с картой технологического процесса, соблюдая </w:t>
      </w:r>
      <w:r w:rsidRPr="004D27A4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и охраны труда, </w:t>
      </w:r>
      <w:r w:rsidRPr="004D27A4">
        <w:rPr>
          <w:rFonts w:ascii="Times New Roman" w:hAnsi="Times New Roman" w:cs="Times New Roman"/>
          <w:sz w:val="28"/>
          <w:szCs w:val="28"/>
        </w:rPr>
        <w:t>используя имеющееся измерительное оборудование, произвести измерение заданных параметров радиоэлектронного оборудования. По результатам измерений заполнить необходимую документацию.</w:t>
      </w:r>
    </w:p>
    <w:p w:rsidR="00902201" w:rsidRPr="004D27A4" w:rsidRDefault="00902201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691664" w:rsidRPr="004D27A4" w:rsidRDefault="00691664" w:rsidP="00691664">
      <w:pPr>
        <w:pStyle w:val="-2"/>
        <w:spacing w:before="0" w:after="0" w:line="276" w:lineRule="auto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bookmarkStart w:id="16" w:name="_Toc142037194"/>
      <w:r w:rsidRPr="004D27A4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4D27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D27A4">
        <w:rPr>
          <w:rFonts w:ascii="Times New Roman" w:eastAsia="Times New Roman" w:hAnsi="Times New Roman" w:cs="Times New Roman"/>
          <w:sz w:val="28"/>
          <w:szCs w:val="28"/>
        </w:rPr>
        <w:t>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66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</w:p>
    <w:p w:rsidR="00691664" w:rsidRPr="004D27A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D27A4"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 запрещенные на площадке</w:t>
      </w:r>
      <w:bookmarkEnd w:id="17"/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инструменты, 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не указанные в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инфраструктурном листе.</w:t>
      </w: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>Личные мобильные устройства и гаджеты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«Монтаж и обслуживание радиоэлектронного оборудования на железнодорожном транспорте».</w:t>
      </w:r>
    </w:p>
    <w:p w:rsidR="00902201" w:rsidRPr="00691664" w:rsidRDefault="00902201" w:rsidP="00902201">
      <w:pPr>
        <w:pStyle w:val="aff1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91664">
        <w:rPr>
          <w:rFonts w:ascii="Times New Roman" w:eastAsiaTheme="minorHAnsi" w:hAnsi="Times New Roman"/>
          <w:sz w:val="28"/>
          <w:szCs w:val="28"/>
        </w:rPr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691664">
        <w:rPr>
          <w:rFonts w:ascii="Times New Roman" w:eastAsiaTheme="minorHAnsi" w:hAnsi="Times New Roman"/>
          <w:sz w:val="28"/>
          <w:szCs w:val="28"/>
        </w:rPr>
        <w:t xml:space="preserve"> Исходные данные для расчета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1664">
        <w:rPr>
          <w:rFonts w:ascii="Times New Roman" w:hAnsi="Times New Roman" w:cs="Times New Roman"/>
          <w:sz w:val="28"/>
          <w:szCs w:val="28"/>
        </w:rPr>
        <w:t xml:space="preserve">  Журнал учета работ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1664">
        <w:rPr>
          <w:rFonts w:ascii="Times New Roman" w:hAnsi="Times New Roman" w:cs="Times New Roman"/>
          <w:sz w:val="28"/>
          <w:szCs w:val="28"/>
        </w:rPr>
        <w:t xml:space="preserve"> Схема монтажа линии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1664">
        <w:rPr>
          <w:rFonts w:ascii="Times New Roman" w:hAnsi="Times New Roman" w:cs="Times New Roman"/>
          <w:sz w:val="28"/>
          <w:szCs w:val="28"/>
        </w:rPr>
        <w:t xml:space="preserve"> Параметры для конфигурирования радиостанции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тестирования блоков радиостанции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учета измерений </w:t>
      </w:r>
    </w:p>
    <w:p w:rsidR="00902201" w:rsidRDefault="00902201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36A22" w:rsidRDefault="00836A22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836A22" w:rsidRDefault="00836A22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691664" w:rsidRPr="00B532DB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691664" w:rsidRDefault="00691664" w:rsidP="006916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Исходные данные для расчета</w:t>
      </w:r>
    </w:p>
    <w:p w:rsidR="00691664" w:rsidRPr="00B532DB" w:rsidRDefault="00691664" w:rsidP="006916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532DB">
        <w:rPr>
          <w:rFonts w:ascii="Times New Roman" w:hAnsi="Times New Roman" w:cs="Times New Roman"/>
          <w:sz w:val="28"/>
        </w:rPr>
        <w:t>Схема участка железной дороги:</w:t>
      </w:r>
    </w:p>
    <w:p w:rsidR="00691664" w:rsidRPr="00B532DB" w:rsidRDefault="00737C98" w:rsidP="00691664">
      <w:pPr>
        <w:tabs>
          <w:tab w:val="left" w:pos="353"/>
          <w:tab w:val="left" w:pos="7575"/>
        </w:tabs>
        <w:spacing w:line="360" w:lineRule="auto"/>
        <w:ind w:left="104" w:right="97" w:hanging="35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6096149" cy="10685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44" cy="10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4" w:rsidRDefault="00691664" w:rsidP="00691664">
      <w:pPr>
        <w:pStyle w:val="aff1"/>
        <w:tabs>
          <w:tab w:val="left" w:pos="-1701"/>
          <w:tab w:val="left" w:pos="426"/>
          <w:tab w:val="left" w:pos="851"/>
        </w:tabs>
        <w:suppressAutoHyphens/>
        <w:spacing w:line="360" w:lineRule="auto"/>
        <w:ind w:left="0" w:right="96"/>
        <w:rPr>
          <w:rFonts w:ascii="Times New Roman" w:hAnsi="Times New Roman"/>
          <w:sz w:val="28"/>
        </w:rPr>
      </w:pPr>
      <w:r w:rsidRPr="00B532DB">
        <w:rPr>
          <w:rFonts w:ascii="Times New Roman" w:hAnsi="Times New Roman"/>
          <w:sz w:val="28"/>
        </w:rPr>
        <w:t>Выполнить размещение регенерационных пунктов. Предусмотреть выделение каналов региональной связи на всех промежуточных станциях, а каналов дорожной связи – на станциях</w:t>
      </w:r>
      <w:proofErr w:type="gramStart"/>
      <w:r w:rsidRPr="00B532DB">
        <w:rPr>
          <w:rFonts w:ascii="Times New Roman" w:hAnsi="Times New Roman"/>
          <w:sz w:val="28"/>
        </w:rPr>
        <w:t xml:space="preserve"> </w:t>
      </w:r>
      <w:r w:rsidR="00737C98">
        <w:rPr>
          <w:rFonts w:ascii="Times New Roman" w:hAnsi="Times New Roman"/>
          <w:sz w:val="28"/>
        </w:rPr>
        <w:t>А</w:t>
      </w:r>
      <w:proofErr w:type="gramEnd"/>
      <w:r w:rsidRPr="00B532DB">
        <w:rPr>
          <w:rFonts w:ascii="Times New Roman" w:hAnsi="Times New Roman"/>
          <w:sz w:val="28"/>
        </w:rPr>
        <w:t xml:space="preserve">, К, </w:t>
      </w:r>
      <w:r w:rsidR="00737C98">
        <w:rPr>
          <w:rFonts w:ascii="Times New Roman" w:hAnsi="Times New Roman"/>
          <w:sz w:val="28"/>
        </w:rPr>
        <w:t>Н</w:t>
      </w:r>
      <w:r w:rsidRPr="00B532DB">
        <w:rPr>
          <w:rFonts w:ascii="Times New Roman" w:hAnsi="Times New Roman"/>
          <w:sz w:val="28"/>
        </w:rPr>
        <w:t>. При выборе оборудования отдать предпочтение оптическим системам передачи российского производителя.</w:t>
      </w:r>
    </w:p>
    <w:p w:rsidR="006F7F2C" w:rsidRDefault="006F7F2C" w:rsidP="00691664">
      <w:pPr>
        <w:pStyle w:val="aff1"/>
        <w:tabs>
          <w:tab w:val="left" w:pos="-1701"/>
          <w:tab w:val="left" w:pos="426"/>
          <w:tab w:val="left" w:pos="851"/>
        </w:tabs>
        <w:suppressAutoHyphens/>
        <w:spacing w:line="360" w:lineRule="auto"/>
        <w:ind w:left="0" w:right="96"/>
        <w:rPr>
          <w:rFonts w:ascii="Times New Roman" w:hAnsi="Times New Roman"/>
          <w:sz w:val="28"/>
        </w:rPr>
      </w:pPr>
    </w:p>
    <w:p w:rsidR="006F7F2C" w:rsidRDefault="006F7F2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F7F2C" w:rsidRPr="00B532DB" w:rsidRDefault="006F7F2C" w:rsidP="006F7F2C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  <w:r w:rsidRPr="00B532DB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6</w:t>
      </w:r>
      <w:r w:rsidRPr="00B532DB">
        <w:rPr>
          <w:rFonts w:ascii="Times New Roman" w:hAnsi="Times New Roman"/>
          <w:sz w:val="28"/>
        </w:rPr>
        <w:t xml:space="preserve">  </w:t>
      </w:r>
    </w:p>
    <w:p w:rsidR="006F7F2C" w:rsidRDefault="006F7F2C" w:rsidP="006F7F2C"/>
    <w:p w:rsidR="006F7F2C" w:rsidRDefault="006F7F2C" w:rsidP="006F7F2C">
      <w:r>
        <w:rPr>
          <w:noProof/>
          <w:lang w:eastAsia="ru-RU"/>
        </w:rPr>
        <w:drawing>
          <wp:inline distT="0" distB="0" distL="0" distR="0">
            <wp:extent cx="6010275" cy="8178538"/>
            <wp:effectExtent l="19050" t="19050" r="9525" b="133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237" cy="81893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7F2C" w:rsidRDefault="006F7F2C" w:rsidP="006F7F2C"/>
    <w:p w:rsidR="006F7F2C" w:rsidRDefault="006F7F2C" w:rsidP="006F7F2C">
      <w:r>
        <w:rPr>
          <w:noProof/>
          <w:lang w:eastAsia="ru-RU"/>
        </w:rPr>
        <w:lastRenderedPageBreak/>
        <w:drawing>
          <wp:inline distT="0" distB="0" distL="0" distR="0">
            <wp:extent cx="5940425" cy="7894956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2C" w:rsidRDefault="006F7F2C" w:rsidP="006F7F2C"/>
    <w:p w:rsidR="006F7F2C" w:rsidRDefault="006F7F2C" w:rsidP="006F7F2C"/>
    <w:p w:rsidR="006F7F2C" w:rsidRDefault="006F7F2C" w:rsidP="006F7F2C"/>
    <w:p w:rsidR="006F7F2C" w:rsidRDefault="006F7F2C" w:rsidP="006F7F2C"/>
    <w:p w:rsidR="00691664" w:rsidRDefault="00737C98" w:rsidP="00737C98">
      <w:pPr>
        <w:pStyle w:val="aff1"/>
        <w:tabs>
          <w:tab w:val="left" w:pos="1456"/>
          <w:tab w:val="right" w:pos="9639"/>
        </w:tabs>
        <w:spacing w:before="2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ab/>
      </w:r>
      <w:r w:rsidR="00691664"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 w:rsidR="00691664" w:rsidRPr="00B532DB">
        <w:rPr>
          <w:rFonts w:ascii="Times New Roman" w:hAnsi="Times New Roman"/>
          <w:sz w:val="28"/>
        </w:rPr>
        <w:t xml:space="preserve">Приложение </w:t>
      </w:r>
      <w:r w:rsidR="00691664">
        <w:rPr>
          <w:rFonts w:ascii="Times New Roman" w:hAnsi="Times New Roman"/>
          <w:sz w:val="28"/>
        </w:rPr>
        <w:t>№ 7</w:t>
      </w:r>
    </w:p>
    <w:p w:rsidR="00691664" w:rsidRPr="00B532DB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монтажа линии</w:t>
      </w:r>
    </w:p>
    <w:p w:rsidR="00691664" w:rsidRDefault="00D344CB" w:rsidP="00691664">
      <w:pPr>
        <w:pStyle w:val="aff1"/>
        <w:spacing w:before="240" w:line="240" w:lineRule="auto"/>
        <w:ind w:left="0"/>
        <w:jc w:val="right"/>
        <w:rPr>
          <w:i/>
        </w:rPr>
      </w:pPr>
      <w:r w:rsidRPr="00EF48D5">
        <w:rPr>
          <w:rFonts w:ascii="Times New Roman" w:hAnsi="Times New Roman"/>
          <w:noProof/>
        </w:rPr>
        <w:object w:dxaOrig="10572" w:dyaOrig="4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7.9pt;height:233pt" o:ole="">
            <v:imagedata r:id="rId13" o:title=""/>
          </v:shape>
          <o:OLEObject Type="Embed" ProgID="Visio.Drawing.11" ShapeID="_x0000_i1025" DrawAspect="Content" ObjectID="_1771269336" r:id="rId14"/>
        </w:object>
      </w:r>
    </w:p>
    <w:p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  <w:szCs w:val="24"/>
        </w:rPr>
      </w:pPr>
      <w:bookmarkStart w:id="18" w:name="_GoBack"/>
      <w:bookmarkEnd w:id="18"/>
      <w:r w:rsidRPr="00AB0F08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№ 8</w:t>
      </w:r>
    </w:p>
    <w:p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1664" w:rsidRPr="00AB0F08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Параметры для конфигурирования радиостанции</w:t>
      </w:r>
    </w:p>
    <w:p w:rsidR="00691664" w:rsidRPr="00B532DB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6747"/>
        <w:gridCol w:w="3108"/>
      </w:tblGrid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Параметр </w:t>
            </w:r>
          </w:p>
        </w:tc>
        <w:tc>
          <w:tcPr>
            <w:tcW w:w="1577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Значение 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1577" w:type="pct"/>
          </w:tcPr>
          <w:p w:rsidR="00691664" w:rsidRPr="00AB0F08" w:rsidRDefault="00D97C8B" w:rsidP="00D97C8B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="00691664" w:rsidRPr="00AB0F08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03</w:t>
            </w:r>
            <w:r w:rsidR="00691664" w:rsidRPr="00AB0F08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1577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15:00 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>Номер частоты</w:t>
            </w:r>
          </w:p>
        </w:tc>
        <w:tc>
          <w:tcPr>
            <w:tcW w:w="1577" w:type="pct"/>
          </w:tcPr>
          <w:p w:rsidR="00691664" w:rsidRPr="00AB0F08" w:rsidRDefault="00D97C8B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</w:tbl>
    <w:p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  <w:szCs w:val="24"/>
        </w:rPr>
      </w:pPr>
      <w:r w:rsidRPr="00AB0F08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 xml:space="preserve">№ 9 </w:t>
      </w:r>
    </w:p>
    <w:p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1664" w:rsidRPr="00AB0F08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Бланк тестирования блоков радиостанции</w:t>
      </w:r>
    </w:p>
    <w:tbl>
      <w:tblPr>
        <w:tblStyle w:val="af"/>
        <w:tblpPr w:leftFromText="180" w:rightFromText="180" w:vertAnchor="text" w:horzAnchor="margin" w:tblpXSpec="center" w:tblpY="199"/>
        <w:tblW w:w="9606" w:type="dxa"/>
        <w:tblLayout w:type="fixed"/>
        <w:tblLook w:val="04A0"/>
      </w:tblPr>
      <w:tblGrid>
        <w:gridCol w:w="594"/>
        <w:gridCol w:w="1825"/>
        <w:gridCol w:w="2923"/>
        <w:gridCol w:w="1854"/>
        <w:gridCol w:w="2410"/>
      </w:tblGrid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тестирования</w:t>
            </w: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Наименование блока радиостанции</w:t>
            </w: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Результат тестирования</w:t>
            </w: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проводил: </w:t>
            </w:r>
          </w:p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Ф. И. О., должность</w:t>
            </w: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3DBB" w:rsidRDefault="002B3DBB" w:rsidP="006F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35" w:rsidRDefault="000F5E35" w:rsidP="00970F49">
      <w:pPr>
        <w:spacing w:after="0" w:line="240" w:lineRule="auto"/>
      </w:pPr>
      <w:r>
        <w:separator/>
      </w:r>
    </w:p>
  </w:endnote>
  <w:endnote w:type="continuationSeparator" w:id="0">
    <w:p w:rsidR="000F5E35" w:rsidRDefault="000F5E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4609" w:rsidRPr="00A4187F" w:rsidRDefault="00804B3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584609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F7F2C">
          <w:rPr>
            <w:rFonts w:ascii="Times New Roman" w:hAnsi="Times New Roman" w:cs="Times New Roman"/>
            <w:noProof/>
          </w:rPr>
          <w:t>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584609" w:rsidRDefault="005846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35" w:rsidRDefault="000F5E35" w:rsidP="00970F49">
      <w:pPr>
        <w:spacing w:after="0" w:line="240" w:lineRule="auto"/>
      </w:pPr>
      <w:r>
        <w:separator/>
      </w:r>
    </w:p>
  </w:footnote>
  <w:footnote w:type="continuationSeparator" w:id="0">
    <w:p w:rsidR="000F5E35" w:rsidRDefault="000F5E35" w:rsidP="00970F49">
      <w:pPr>
        <w:spacing w:after="0" w:line="240" w:lineRule="auto"/>
      </w:pPr>
      <w:r>
        <w:continuationSeparator/>
      </w:r>
    </w:p>
  </w:footnote>
  <w:footnote w:id="1">
    <w:p w:rsidR="00584609" w:rsidRDefault="0058460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84609" w:rsidRDefault="0058460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A97"/>
    <w:multiLevelType w:val="hybridMultilevel"/>
    <w:tmpl w:val="ABE2ACA8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1838FA"/>
    <w:multiLevelType w:val="hybridMultilevel"/>
    <w:tmpl w:val="187EEAE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5306"/>
    <w:multiLevelType w:val="hybridMultilevel"/>
    <w:tmpl w:val="9EFE10C6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4670B7B"/>
    <w:multiLevelType w:val="hybridMultilevel"/>
    <w:tmpl w:val="455085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0274"/>
    <w:multiLevelType w:val="hybridMultilevel"/>
    <w:tmpl w:val="A61C2E0A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1AA2"/>
    <w:multiLevelType w:val="hybridMultilevel"/>
    <w:tmpl w:val="C6BE05DE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05C1"/>
    <w:multiLevelType w:val="hybridMultilevel"/>
    <w:tmpl w:val="B7A6EDD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96B9B"/>
    <w:multiLevelType w:val="hybridMultilevel"/>
    <w:tmpl w:val="EC62192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10670"/>
    <w:multiLevelType w:val="hybridMultilevel"/>
    <w:tmpl w:val="6414DB22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A69B2"/>
    <w:multiLevelType w:val="hybridMultilevel"/>
    <w:tmpl w:val="41886B0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2018F4"/>
    <w:multiLevelType w:val="hybridMultilevel"/>
    <w:tmpl w:val="FD60D1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069F4"/>
    <w:multiLevelType w:val="hybridMultilevel"/>
    <w:tmpl w:val="E8943C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B275D"/>
    <w:multiLevelType w:val="hybridMultilevel"/>
    <w:tmpl w:val="F5EE7622"/>
    <w:lvl w:ilvl="0" w:tplc="6B1EF9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27D5"/>
    <w:multiLevelType w:val="hybridMultilevel"/>
    <w:tmpl w:val="A4888F64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9"/>
  </w:num>
  <w:num w:numId="10">
    <w:abstractNumId w:val="8"/>
  </w:num>
  <w:num w:numId="11">
    <w:abstractNumId w:val="4"/>
  </w:num>
  <w:num w:numId="12">
    <w:abstractNumId w:val="13"/>
  </w:num>
  <w:num w:numId="13">
    <w:abstractNumId w:val="33"/>
  </w:num>
  <w:num w:numId="14">
    <w:abstractNumId w:val="14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18"/>
  </w:num>
  <w:num w:numId="20">
    <w:abstractNumId w:val="25"/>
  </w:num>
  <w:num w:numId="21">
    <w:abstractNumId w:val="15"/>
  </w:num>
  <w:num w:numId="22">
    <w:abstractNumId w:val="5"/>
  </w:num>
  <w:num w:numId="23">
    <w:abstractNumId w:val="32"/>
  </w:num>
  <w:num w:numId="24">
    <w:abstractNumId w:val="35"/>
  </w:num>
  <w:num w:numId="25">
    <w:abstractNumId w:val="0"/>
  </w:num>
  <w:num w:numId="26">
    <w:abstractNumId w:val="24"/>
  </w:num>
  <w:num w:numId="27">
    <w:abstractNumId w:val="27"/>
  </w:num>
  <w:num w:numId="28">
    <w:abstractNumId w:val="16"/>
  </w:num>
  <w:num w:numId="29">
    <w:abstractNumId w:val="20"/>
  </w:num>
  <w:num w:numId="30">
    <w:abstractNumId w:val="26"/>
  </w:num>
  <w:num w:numId="31">
    <w:abstractNumId w:val="11"/>
  </w:num>
  <w:num w:numId="32">
    <w:abstractNumId w:val="12"/>
  </w:num>
  <w:num w:numId="33">
    <w:abstractNumId w:val="21"/>
  </w:num>
  <w:num w:numId="34">
    <w:abstractNumId w:val="23"/>
  </w:num>
  <w:num w:numId="35">
    <w:abstractNumId w:val="19"/>
  </w:num>
  <w:num w:numId="3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5E35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2D9D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460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1664"/>
    <w:rsid w:val="006A2712"/>
    <w:rsid w:val="006A4EFB"/>
    <w:rsid w:val="006B0FEA"/>
    <w:rsid w:val="006C6D6D"/>
    <w:rsid w:val="006C7A3B"/>
    <w:rsid w:val="006C7CE4"/>
    <w:rsid w:val="006F4464"/>
    <w:rsid w:val="006F7F2C"/>
    <w:rsid w:val="00714CA4"/>
    <w:rsid w:val="007250D9"/>
    <w:rsid w:val="007274B8"/>
    <w:rsid w:val="00727F97"/>
    <w:rsid w:val="00730AE0"/>
    <w:rsid w:val="00737C9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B36"/>
    <w:rsid w:val="00812516"/>
    <w:rsid w:val="00832EBB"/>
    <w:rsid w:val="00834734"/>
    <w:rsid w:val="00835BF6"/>
    <w:rsid w:val="00836A22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201"/>
    <w:rsid w:val="00905D8C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AF7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E1A"/>
    <w:rsid w:val="00B610A2"/>
    <w:rsid w:val="00BA2CF0"/>
    <w:rsid w:val="00BC3813"/>
    <w:rsid w:val="00BC7808"/>
    <w:rsid w:val="00BE099A"/>
    <w:rsid w:val="00C03035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4CB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7C8B"/>
    <w:rsid w:val="00DC613A"/>
    <w:rsid w:val="00DC63FC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6F7F2C"/>
    <w:pPr>
      <w:tabs>
        <w:tab w:val="right" w:leader="dot" w:pos="9639"/>
      </w:tabs>
      <w:spacing w:after="0" w:line="276" w:lineRule="auto"/>
      <w:ind w:right="141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DBBE2FB371FA9C0C82D069E2C814D41B7F63D6BB6C9BE72DD32881A60A0958CDC22ACB1D58B09AU6Z7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6394-9CEA-4575-B60B-3529281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3147</Words>
  <Characters>17944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Slava-Vanek</cp:lastModifiedBy>
  <cp:revision>3</cp:revision>
  <dcterms:created xsi:type="dcterms:W3CDTF">2024-03-05T14:03:00Z</dcterms:created>
  <dcterms:modified xsi:type="dcterms:W3CDTF">2024-03-06T19:29:00Z</dcterms:modified>
</cp:coreProperties>
</file>